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
	<Relationship Id="rId3" Type="http://schemas.openxmlformats.org/officeDocument/2006/relationships/extended-properties" Target="docProps/app.xml"/>
	<Relationship Id="rId2" Type="http://schemas.openxmlformats.org/package/2006/relationships/metadata/core-properties" Target="docProps/core.xml"/>
	<Relationship Id="rId1" Type="http://schemas.openxmlformats.org/officeDocument/2006/relationships/officeDocument" Target="word/document.xml"/>
	<Relationship Id="rId4" Type="http://schemas.openxmlformats.org/officeDocument/2006/relationships/custom-properties" Target="docProps/custom.xml"/>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1F" w:rsidRDefault="00D863C7">
      <w:pPr>
        <w:pStyle w:val="Heading3"/>
        <w:ind w:left="2558" w:right="2541" w:firstLine="352"/>
        <w:rPr>
          <w:u w:val="none"/>
        </w:rPr>
      </w:pPr>
      <w:bookmarkStart w:id="0" w:name="_GoBack"/>
      <w:bookmarkEnd w:id="0"/>
      <w:r>
        <w:rPr>
          <w:u w:val="thick"/>
        </w:rPr>
        <w:t>CBA TRUST &amp; ESTATE SECTION</w:t>
      </w:r>
      <w:r>
        <w:rPr>
          <w:u w:val="none"/>
        </w:rPr>
        <w:t xml:space="preserve"> </w:t>
      </w:r>
      <w:r>
        <w:rPr>
          <w:u w:val="thick"/>
        </w:rPr>
        <w:t>STATUTORY REVISIONS COMMITTEE</w:t>
      </w:r>
    </w:p>
    <w:p w:rsidR="00BA601F" w:rsidRDefault="00BA601F">
      <w:pPr>
        <w:pStyle w:val="BodyText"/>
        <w:spacing w:before="3"/>
        <w:rPr>
          <w:rFonts w:ascii="Times New Roman"/>
          <w:b/>
          <w:sz w:val="16"/>
        </w:rPr>
      </w:pPr>
    </w:p>
    <w:p w:rsidR="00BA601F" w:rsidRDefault="00D863C7">
      <w:pPr>
        <w:spacing w:before="90"/>
        <w:ind w:left="2496"/>
        <w:rPr>
          <w:rFonts w:ascii="Times New Roman"/>
          <w:b/>
          <w:sz w:val="24"/>
          <w:u w:val="thick"/>
        </w:rPr>
      </w:pPr>
      <w:r>
        <w:rPr>
          <w:rFonts w:ascii="Times New Roman"/>
          <w:b/>
          <w:sz w:val="24"/>
          <w:u w:val="thick"/>
        </w:rPr>
        <w:t>Subcommittee Composition and Connections</w:t>
      </w:r>
    </w:p>
    <w:p w:rsidR="009261B1" w:rsidRDefault="009261B1">
      <w:pPr>
        <w:spacing w:before="90"/>
        <w:ind w:left="2496"/>
        <w:rPr>
          <w:rFonts w:ascii="Times New Roman"/>
          <w:b/>
          <w:sz w:val="24"/>
          <w:u w:val="thick"/>
        </w:rPr>
      </w:pPr>
    </w:p>
    <w:p w:rsidR="009261B1" w:rsidRPr="009261B1" w:rsidRDefault="009261B1" w:rsidP="009261B1">
      <w:pPr>
        <w:spacing w:before="90"/>
        <w:jc w:val="center"/>
        <w:rPr>
          <w:rFonts w:ascii="Times New Roman"/>
          <w:b/>
          <w:i/>
          <w:sz w:val="24"/>
          <w:u w:val="single"/>
        </w:rPr>
      </w:pPr>
      <w:r w:rsidRPr="009261B1">
        <w:rPr>
          <w:rFonts w:ascii="Times New Roman"/>
          <w:b/>
          <w:i/>
          <w:sz w:val="24"/>
          <w:u w:val="single"/>
        </w:rPr>
        <w:t>Subcommittee:  Amending Conservator</w:t>
      </w:r>
      <w:r w:rsidRPr="009261B1">
        <w:rPr>
          <w:rFonts w:ascii="Times New Roman"/>
          <w:b/>
          <w:i/>
          <w:sz w:val="24"/>
          <w:u w:val="single"/>
        </w:rPr>
        <w:t>’</w:t>
      </w:r>
      <w:r w:rsidRPr="009261B1">
        <w:rPr>
          <w:rFonts w:ascii="Times New Roman"/>
          <w:b/>
          <w:i/>
          <w:sz w:val="24"/>
          <w:u w:val="single"/>
        </w:rPr>
        <w:t>s Financial Plan</w:t>
      </w:r>
    </w:p>
    <w:p w:rsidR="00BA601F" w:rsidRDefault="00BA601F">
      <w:pPr>
        <w:pStyle w:val="BodyText"/>
        <w:rPr>
          <w:rFonts w:ascii="Times New Roman"/>
          <w:b/>
          <w:sz w:val="20"/>
        </w:rPr>
      </w:pPr>
    </w:p>
    <w:p w:rsidR="00BA601F" w:rsidRDefault="00BA601F">
      <w:pPr>
        <w:pStyle w:val="BodyText"/>
        <w:spacing w:before="8"/>
        <w:rPr>
          <w:rFonts w:ascii="Times New Roman"/>
          <w:b/>
          <w:sz w:val="19"/>
        </w:rPr>
      </w:pPr>
    </w:p>
    <w:p w:rsidR="00BA601F" w:rsidRDefault="00D863C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rPr>
          <w:sz w:val="24"/>
        </w:rPr>
      </w:pPr>
      <w:bookmarkStart w:id="1" w:name="A._At_Inception_of_Subcommittee."/>
      <w:bookmarkEnd w:id="1"/>
      <w:r>
        <w:rPr>
          <w:sz w:val="24"/>
          <w:u w:val="single"/>
        </w:rPr>
        <w:t>At Inception of Subcommittee</w:t>
      </w:r>
      <w:r>
        <w:rPr>
          <w:sz w:val="24"/>
        </w:rPr>
        <w:t>.</w:t>
      </w:r>
    </w:p>
    <w:p w:rsidR="00BA601F" w:rsidRDefault="00BA601F">
      <w:pPr>
        <w:pStyle w:val="BodyText"/>
        <w:spacing w:before="10"/>
        <w:rPr>
          <w:rFonts w:ascii="Times New Roman"/>
          <w:sz w:val="20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0"/>
        <w:rPr>
          <w:sz w:val="24"/>
        </w:rPr>
      </w:pPr>
      <w:bookmarkStart w:id="2" w:name="1._Initial_Subcommittee_Chairs_and_Membe"/>
      <w:bookmarkEnd w:id="2"/>
      <w:r>
        <w:rPr>
          <w:sz w:val="24"/>
        </w:rPr>
        <w:t>Initial Subcommittee Chairs and</w:t>
      </w:r>
      <w:r>
        <w:rPr>
          <w:spacing w:val="-2"/>
          <w:sz w:val="24"/>
        </w:rPr>
        <w:t xml:space="preserve"> </w:t>
      </w:r>
      <w:r>
        <w:rPr>
          <w:sz w:val="24"/>
        </w:rPr>
        <w:t>Members.</w:t>
      </w:r>
    </w:p>
    <w:p w:rsidR="00BA601F" w:rsidRDefault="00BA601F">
      <w:pPr>
        <w:pStyle w:val="BodyText"/>
        <w:spacing w:before="3"/>
        <w:rPr>
          <w:rFonts w:ascii="Times New Roman"/>
          <w:sz w:val="21"/>
        </w:rPr>
      </w:pPr>
    </w:p>
    <w:p w:rsidR="00BA601F" w:rsidRDefault="00D863C7">
      <w:pPr>
        <w:spacing w:before="1"/>
        <w:ind w:left="156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Please consider soliciting the participation of T&amp;E Section members who may have a perspective that is not otherwise represented on the Subcommittee.</w:t>
      </w:r>
    </w:p>
    <w:p w:rsidR="00BA601F" w:rsidRDefault="00BA601F">
      <w:pPr>
        <w:pStyle w:val="BodyText"/>
        <w:rPr>
          <w:rFonts w:ascii="Times New Roman"/>
          <w:b/>
          <w:i/>
          <w:sz w:val="26"/>
        </w:rPr>
      </w:pPr>
    </w:p>
    <w:p w:rsidR="00BA601F" w:rsidRPr="009261B1" w:rsidRDefault="009261B1">
      <w:pPr>
        <w:pStyle w:val="BodyText"/>
        <w:rPr>
          <w:rFonts w:ascii="Times New Roman"/>
          <w:b/>
        </w:rPr>
      </w:pP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  <w:i/>
          <w:sz w:val="26"/>
        </w:rPr>
        <w:tab/>
      </w:r>
      <w:r>
        <w:rPr>
          <w:rFonts w:ascii="Times New Roman"/>
          <w:b/>
        </w:rPr>
        <w:t>We welcome member</w:t>
      </w:r>
      <w:r w:rsidR="003E4992">
        <w:rPr>
          <w:rFonts w:ascii="Times New Roman"/>
          <w:b/>
        </w:rPr>
        <w:t>s</w:t>
      </w:r>
      <w:r>
        <w:rPr>
          <w:rFonts w:ascii="Times New Roman"/>
          <w:b/>
        </w:rPr>
        <w:t xml:space="preserve"> to this Sub-Committee.  </w:t>
      </w:r>
    </w:p>
    <w:p w:rsidR="00BA601F" w:rsidRDefault="00BA601F">
      <w:pPr>
        <w:pStyle w:val="BodyText"/>
        <w:rPr>
          <w:rFonts w:ascii="Times New Roman"/>
          <w:b/>
          <w:i/>
          <w:sz w:val="26"/>
        </w:rPr>
      </w:pPr>
    </w:p>
    <w:p w:rsidR="00BA601F" w:rsidRDefault="00BA601F">
      <w:pPr>
        <w:pStyle w:val="BodyText"/>
        <w:rPr>
          <w:rFonts w:ascii="Times New Roman"/>
          <w:b/>
          <w:i/>
          <w:sz w:val="26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60"/>
        </w:tabs>
        <w:spacing w:before="206"/>
        <w:ind w:right="118"/>
        <w:jc w:val="both"/>
        <w:rPr>
          <w:sz w:val="24"/>
        </w:rPr>
      </w:pPr>
      <w:bookmarkStart w:id="3" w:name="2._Please_review_the_list_of_CBA_Section"/>
      <w:bookmarkEnd w:id="3"/>
      <w:r>
        <w:rPr>
          <w:sz w:val="24"/>
        </w:rPr>
        <w:t>Please review the list of CBA Sections and Committees attached to this form and identify those that may have some interest in the subject or results of your Subcommittee’s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:rsidR="009261B1" w:rsidRPr="009261B1" w:rsidRDefault="009261B1" w:rsidP="009261B1">
      <w:pPr>
        <w:pStyle w:val="ListParagraph"/>
        <w:numPr>
          <w:ilvl w:val="2"/>
          <w:numId w:val="1"/>
        </w:numPr>
        <w:tabs>
          <w:tab w:val="left" w:pos="1560"/>
        </w:tabs>
        <w:spacing w:before="206"/>
        <w:ind w:right="118"/>
        <w:rPr>
          <w:b/>
          <w:sz w:val="24"/>
        </w:rPr>
      </w:pPr>
      <w:r w:rsidRPr="009261B1">
        <w:rPr>
          <w:b/>
          <w:sz w:val="24"/>
        </w:rPr>
        <w:t>Elder Law</w:t>
      </w:r>
    </w:p>
    <w:p w:rsidR="009261B1" w:rsidRPr="009261B1" w:rsidRDefault="009261B1" w:rsidP="009261B1">
      <w:pPr>
        <w:pStyle w:val="ListParagraph"/>
        <w:numPr>
          <w:ilvl w:val="2"/>
          <w:numId w:val="1"/>
        </w:numPr>
        <w:tabs>
          <w:tab w:val="left" w:pos="1560"/>
        </w:tabs>
        <w:spacing w:before="206"/>
        <w:ind w:right="118"/>
        <w:rPr>
          <w:b/>
          <w:sz w:val="24"/>
        </w:rPr>
      </w:pPr>
      <w:r w:rsidRPr="009261B1">
        <w:rPr>
          <w:b/>
          <w:sz w:val="24"/>
        </w:rPr>
        <w:t xml:space="preserve">Probate Trial and Procedure Committee </w:t>
      </w: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60"/>
        </w:tabs>
        <w:ind w:right="117"/>
        <w:jc w:val="both"/>
        <w:rPr>
          <w:sz w:val="24"/>
        </w:rPr>
      </w:pPr>
      <w:bookmarkStart w:id="4" w:name="3._Please_consult_with_the_CBA’s_Legisla"/>
      <w:bookmarkEnd w:id="4"/>
      <w:r>
        <w:rPr>
          <w:sz w:val="24"/>
        </w:rPr>
        <w:t>Please consult with the CBA’s Legislative Liaison (Jeremy Schupbach) and note any other legislative efforts within or outside the CBA that may be related to or affected by your Subcommittee’s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  <w:r w:rsidR="00D35C6F">
        <w:rPr>
          <w:sz w:val="24"/>
        </w:rPr>
        <w:t xml:space="preserve">  </w:t>
      </w:r>
      <w:r w:rsidR="00D35C6F">
        <w:rPr>
          <w:b/>
          <w:sz w:val="24"/>
        </w:rPr>
        <w:t>We will do so.</w:t>
      </w:r>
    </w:p>
    <w:p w:rsidR="00BA601F" w:rsidRDefault="00BA601F">
      <w:pPr>
        <w:jc w:val="both"/>
        <w:rPr>
          <w:sz w:val="24"/>
        </w:rPr>
      </w:pPr>
    </w:p>
    <w:p w:rsidR="009261B1" w:rsidRDefault="009261B1">
      <w:pPr>
        <w:jc w:val="both"/>
        <w:rPr>
          <w:sz w:val="24"/>
        </w:rPr>
      </w:pPr>
    </w:p>
    <w:p w:rsidR="00BA601F" w:rsidRDefault="00D863C7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2"/>
        <w:rPr>
          <w:sz w:val="24"/>
        </w:rPr>
      </w:pPr>
      <w:r>
        <w:rPr>
          <w:sz w:val="24"/>
          <w:u w:val="single"/>
        </w:rPr>
        <w:t>Prior to Seeking SRC’s Approval of Sub-Committee’s Proposed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Legislation</w:t>
      </w:r>
      <w:r>
        <w:rPr>
          <w:sz w:val="24"/>
        </w:rPr>
        <w:t>.</w:t>
      </w:r>
    </w:p>
    <w:p w:rsidR="00BA601F" w:rsidRDefault="00BA601F">
      <w:pPr>
        <w:pStyle w:val="BodyText"/>
        <w:spacing w:before="9"/>
        <w:rPr>
          <w:rFonts w:ascii="Times New Roman"/>
          <w:sz w:val="20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1"/>
        <w:rPr>
          <w:sz w:val="24"/>
        </w:rPr>
      </w:pPr>
      <w:bookmarkStart w:id="5" w:name="1._Current_Sub-Committee_Chairs_and_Memb"/>
      <w:bookmarkEnd w:id="5"/>
      <w:r>
        <w:rPr>
          <w:sz w:val="24"/>
        </w:rPr>
        <w:t>Current Sub-Committee Chairs and</w:t>
      </w:r>
      <w:r>
        <w:rPr>
          <w:spacing w:val="-2"/>
          <w:sz w:val="24"/>
        </w:rPr>
        <w:t xml:space="preserve"> </w:t>
      </w:r>
      <w:r>
        <w:rPr>
          <w:sz w:val="24"/>
        </w:rPr>
        <w:t>Members.</w:t>
      </w: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Pr="009261B1" w:rsidRDefault="009261B1" w:rsidP="009261B1">
      <w:pPr>
        <w:pStyle w:val="BodyText"/>
        <w:ind w:left="1440" w:firstLine="720"/>
        <w:rPr>
          <w:rFonts w:ascii="Times New Roman"/>
          <w:b/>
        </w:rPr>
      </w:pPr>
      <w:r w:rsidRPr="009261B1">
        <w:rPr>
          <w:rFonts w:ascii="Times New Roman"/>
          <w:b/>
        </w:rPr>
        <w:t>Marcie R. McMinimee and Lindsay L. Andrew</w:t>
      </w:r>
      <w:r w:rsidR="00D35C6F">
        <w:rPr>
          <w:rFonts w:ascii="Times New Roman"/>
          <w:b/>
        </w:rPr>
        <w:t xml:space="preserve"> </w:t>
      </w:r>
      <w:r w:rsidR="00D35C6F">
        <w:rPr>
          <w:rFonts w:ascii="Times New Roman"/>
          <w:b/>
        </w:rPr>
        <w:t>–</w:t>
      </w:r>
      <w:r w:rsidR="00D35C6F">
        <w:rPr>
          <w:rFonts w:ascii="Times New Roman"/>
          <w:b/>
        </w:rPr>
        <w:t xml:space="preserve"> co-chairs</w:t>
      </w: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9261B1" w:rsidRDefault="009261B1">
      <w:pPr>
        <w:pStyle w:val="BodyText"/>
        <w:rPr>
          <w:rFonts w:ascii="Times New Roman"/>
          <w:sz w:val="26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60"/>
        </w:tabs>
        <w:ind w:right="119"/>
        <w:jc w:val="both"/>
        <w:rPr>
          <w:sz w:val="24"/>
        </w:rPr>
      </w:pPr>
      <w:bookmarkStart w:id="6" w:name="2._Please_update_the_list_provided_in_A."/>
      <w:bookmarkEnd w:id="6"/>
      <w:r>
        <w:rPr>
          <w:sz w:val="24"/>
        </w:rPr>
        <w:lastRenderedPageBreak/>
        <w:t>Please update the list provided in A.2. above. What steps have been taken to integrate these CBA Sections and Committees in your Sub-Committee’s work? (Please note any issues with a Section or Committee that has not been</w:t>
      </w:r>
      <w:r>
        <w:rPr>
          <w:spacing w:val="-15"/>
          <w:sz w:val="24"/>
        </w:rPr>
        <w:t xml:space="preserve"> </w:t>
      </w:r>
      <w:r>
        <w:rPr>
          <w:sz w:val="24"/>
        </w:rPr>
        <w:t>resolved.)</w:t>
      </w: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 w:rsidP="009261B1">
      <w:pPr>
        <w:pStyle w:val="BodyText"/>
        <w:ind w:left="1440"/>
        <w:rPr>
          <w:rFonts w:ascii="Times New Roman"/>
          <w:sz w:val="26"/>
        </w:rPr>
      </w:pPr>
    </w:p>
    <w:p w:rsidR="00BA601F" w:rsidRDefault="009261B1" w:rsidP="009261B1">
      <w:pPr>
        <w:pStyle w:val="BodyText"/>
        <w:ind w:left="2160"/>
        <w:rPr>
          <w:rFonts w:ascii="Times New Roman"/>
          <w:b/>
        </w:rPr>
      </w:pPr>
      <w:r>
        <w:rPr>
          <w:rFonts w:ascii="Times New Roman"/>
          <w:b/>
        </w:rPr>
        <w:t xml:space="preserve">This Sub-Committee was originally formed through the Probate Trial and Procedure Committee.  The proposed statutory changes and form changes were approved by the Probate Trial and Procedure Committee.  </w:t>
      </w:r>
    </w:p>
    <w:p w:rsidR="009261B1" w:rsidRDefault="009261B1" w:rsidP="009261B1">
      <w:pPr>
        <w:pStyle w:val="BodyText"/>
        <w:ind w:left="2160"/>
        <w:rPr>
          <w:rFonts w:ascii="Times New Roman"/>
          <w:b/>
        </w:rPr>
      </w:pPr>
    </w:p>
    <w:p w:rsidR="009261B1" w:rsidRDefault="009261B1" w:rsidP="009261B1">
      <w:pPr>
        <w:pStyle w:val="BodyText"/>
        <w:ind w:left="2160"/>
        <w:rPr>
          <w:rFonts w:ascii="Times New Roman"/>
          <w:b/>
        </w:rPr>
      </w:pPr>
    </w:p>
    <w:p w:rsidR="009261B1" w:rsidRPr="009261B1" w:rsidRDefault="009261B1" w:rsidP="009261B1">
      <w:pPr>
        <w:pStyle w:val="BodyText"/>
        <w:ind w:left="2160"/>
        <w:rPr>
          <w:rFonts w:ascii="Times New Roman"/>
          <w:b/>
        </w:rPr>
      </w:pPr>
      <w:r>
        <w:rPr>
          <w:rFonts w:ascii="Times New Roman"/>
          <w:b/>
        </w:rPr>
        <w:t>Elder Law is aware of this Sub-Committee and has received monthly updates on its progress.   To date, no issues have been raised.</w:t>
      </w: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60"/>
        </w:tabs>
        <w:ind w:right="116"/>
        <w:jc w:val="both"/>
        <w:rPr>
          <w:sz w:val="24"/>
        </w:rPr>
      </w:pPr>
      <w:bookmarkStart w:id="7" w:name="3._Please_update_the_list_provided_in_A."/>
      <w:bookmarkEnd w:id="7"/>
      <w:r>
        <w:rPr>
          <w:sz w:val="24"/>
        </w:rPr>
        <w:t>Please update the list provided in A.3. above. What steps have been taken to address other legislative efforts that may be affected by your Sub-Committee’s proposed legislation? (Please note any issues with a sponsor of related legislation that has not been</w:t>
      </w:r>
      <w:r>
        <w:rPr>
          <w:spacing w:val="-1"/>
          <w:sz w:val="24"/>
        </w:rPr>
        <w:t xml:space="preserve"> </w:t>
      </w:r>
      <w:r>
        <w:rPr>
          <w:sz w:val="24"/>
        </w:rPr>
        <w:t>resolved.)</w:t>
      </w:r>
    </w:p>
    <w:p w:rsidR="009261B1" w:rsidRDefault="009261B1" w:rsidP="009261B1">
      <w:pPr>
        <w:tabs>
          <w:tab w:val="left" w:pos="1560"/>
        </w:tabs>
        <w:ind w:right="11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261B1" w:rsidRDefault="009261B1" w:rsidP="009261B1">
      <w:pPr>
        <w:tabs>
          <w:tab w:val="left" w:pos="1560"/>
        </w:tabs>
        <w:ind w:right="116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We have been waiting for the statutory language to be finalized before taking </w:t>
      </w:r>
    </w:p>
    <w:p w:rsidR="009261B1" w:rsidRDefault="009261B1" w:rsidP="009261B1">
      <w:pPr>
        <w:tabs>
          <w:tab w:val="left" w:pos="1560"/>
        </w:tabs>
        <w:ind w:right="1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it to Jeremy.  We will reach out to him next month, to let him know that we </w:t>
      </w:r>
    </w:p>
    <w:p w:rsidR="009261B1" w:rsidRDefault="009261B1" w:rsidP="009261B1">
      <w:pPr>
        <w:tabs>
          <w:tab w:val="left" w:pos="1560"/>
        </w:tabs>
        <w:ind w:right="1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are moving forward and anticipate having the language finalized by the end </w:t>
      </w:r>
    </w:p>
    <w:p w:rsidR="009261B1" w:rsidRPr="009261B1" w:rsidRDefault="009261B1" w:rsidP="009261B1">
      <w:pPr>
        <w:tabs>
          <w:tab w:val="left" w:pos="1560"/>
        </w:tabs>
        <w:ind w:right="11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of the year.</w:t>
      </w: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BA601F">
      <w:pPr>
        <w:pStyle w:val="BodyText"/>
        <w:rPr>
          <w:rFonts w:ascii="Times New Roman"/>
          <w:sz w:val="26"/>
        </w:rPr>
      </w:pPr>
    </w:p>
    <w:p w:rsidR="00BA601F" w:rsidRDefault="00D863C7">
      <w:pPr>
        <w:pStyle w:val="ListParagraph"/>
        <w:numPr>
          <w:ilvl w:val="1"/>
          <w:numId w:val="1"/>
        </w:numPr>
        <w:tabs>
          <w:tab w:val="left" w:pos="1560"/>
        </w:tabs>
        <w:ind w:right="118"/>
        <w:jc w:val="both"/>
        <w:rPr>
          <w:sz w:val="24"/>
        </w:rPr>
      </w:pPr>
      <w:bookmarkStart w:id="8" w:name="4._Please_describe_any_anticipated_oppos"/>
      <w:bookmarkEnd w:id="8"/>
      <w:r>
        <w:rPr>
          <w:sz w:val="24"/>
        </w:rPr>
        <w:t>Please describe any anticipated opposition to your Sub-Committee’s proposed legislation from within the Trust &amp; Estate Section, and describe the steps taken to address the opponent’s</w:t>
      </w:r>
      <w:r>
        <w:rPr>
          <w:spacing w:val="-2"/>
          <w:sz w:val="24"/>
        </w:rPr>
        <w:t xml:space="preserve"> </w:t>
      </w:r>
      <w:r>
        <w:rPr>
          <w:sz w:val="24"/>
        </w:rPr>
        <w:t>concerns.</w:t>
      </w:r>
    </w:p>
    <w:p w:rsidR="00BA601F" w:rsidRDefault="00BA601F">
      <w:pPr>
        <w:jc w:val="both"/>
        <w:rPr>
          <w:sz w:val="24"/>
        </w:rPr>
      </w:pPr>
    </w:p>
    <w:p w:rsidR="009261B1" w:rsidRPr="009261B1" w:rsidRDefault="009261B1" w:rsidP="009261B1">
      <w:pPr>
        <w:tabs>
          <w:tab w:val="left" w:pos="1920"/>
        </w:tabs>
        <w:ind w:left="1920"/>
        <w:jc w:val="both"/>
        <w:rPr>
          <w:rFonts w:ascii="Times New Roman" w:hAnsi="Times New Roman" w:cs="Times New Roman"/>
          <w:b/>
          <w:sz w:val="24"/>
        </w:rPr>
        <w:sectPr w:rsidR="009261B1" w:rsidRPr="009261B1">
          <w:pgSz w:w="12240" w:h="15840"/>
          <w:pgMar w:top="1360" w:right="1320" w:bottom="280" w:left="1320" w:header="720" w:footer="720" w:gutter="0"/>
          <w:cols w:space="720"/>
        </w:sectPr>
      </w:pPr>
      <w:r w:rsidRPr="009261B1">
        <w:rPr>
          <w:rFonts w:ascii="Times New Roman" w:hAnsi="Times New Roman" w:cs="Times New Roman"/>
          <w:b/>
          <w:sz w:val="24"/>
        </w:rPr>
        <w:t>To date, we have only received positive feedback on bot</w:t>
      </w:r>
      <w:r>
        <w:rPr>
          <w:rFonts w:ascii="Times New Roman" w:hAnsi="Times New Roman" w:cs="Times New Roman"/>
          <w:b/>
          <w:sz w:val="24"/>
        </w:rPr>
        <w:t xml:space="preserve">h the statutory </w:t>
      </w:r>
      <w:r w:rsidRPr="009261B1">
        <w:rPr>
          <w:rFonts w:ascii="Times New Roman" w:hAnsi="Times New Roman" w:cs="Times New Roman"/>
          <w:b/>
          <w:sz w:val="24"/>
        </w:rPr>
        <w:t xml:space="preserve">and form changes.  </w:t>
      </w:r>
      <w:r>
        <w:rPr>
          <w:rFonts w:ascii="Times New Roman" w:hAnsi="Times New Roman" w:cs="Times New Roman"/>
          <w:b/>
          <w:sz w:val="24"/>
        </w:rPr>
        <w:t>We do not anticipate any opposition.</w:t>
      </w:r>
    </w:p>
    <w:p w:rsidR="00BA601F" w:rsidRDefault="00D863C7">
      <w:pPr>
        <w:pStyle w:val="Heading1"/>
      </w:pPr>
      <w:r>
        <w:rPr>
          <w:color w:val="231F20"/>
        </w:rPr>
        <w:lastRenderedPageBreak/>
        <w:t>COLORADO BAR ASSOCIATION COMMITTEES</w:t>
      </w:r>
    </w:p>
    <w:p w:rsidR="00BA601F" w:rsidRDefault="00D863C7">
      <w:pPr>
        <w:pStyle w:val="BodyText"/>
        <w:spacing w:before="283"/>
        <w:ind w:left="120" w:right="5824"/>
      </w:pPr>
      <w:r>
        <w:rPr>
          <w:color w:val="231F20"/>
        </w:rPr>
        <w:t>ACCESS TO JUSTICE COMMISSION AMICUS BRIEF COMMITTEE ANIMAL LAW COMMITTEE AWARDS COMMITTEE</w:t>
      </w:r>
    </w:p>
    <w:p w:rsidR="00BA601F" w:rsidRDefault="00D863C7">
      <w:pPr>
        <w:pStyle w:val="BodyText"/>
        <w:ind w:left="120" w:right="6409"/>
      </w:pPr>
      <w:r>
        <w:rPr>
          <w:color w:val="231F20"/>
        </w:rPr>
        <w:t>BUDGET COMMITTEE CANNABIS LAW COMMITTEE</w:t>
      </w:r>
    </w:p>
    <w:p w:rsidR="00BA601F" w:rsidRDefault="00D863C7">
      <w:pPr>
        <w:pStyle w:val="BodyText"/>
        <w:spacing w:before="2"/>
        <w:ind w:left="120" w:right="2541"/>
      </w:pPr>
      <w:r>
        <w:rPr>
          <w:color w:val="231F20"/>
        </w:rPr>
        <w:t>COLORADO BAR LEADERSHIP TRAINING COMMITTEE (COBALT) COMMITTEE FOR BALANCED LEGAL CAREERS</w:t>
      </w:r>
    </w:p>
    <w:p w:rsidR="00BA601F" w:rsidRDefault="00D863C7">
      <w:pPr>
        <w:pStyle w:val="BodyText"/>
        <w:ind w:left="119" w:right="4050"/>
      </w:pPr>
      <w:r>
        <w:rPr>
          <w:color w:val="231F20"/>
        </w:rPr>
        <w:t>DIVERSITY IN THE LEGAL PROFESSION COMMITTEE ENVIRONMENTAL SUSTAINABILITY COMMITTEE ETHICS COMMITTEE</w:t>
      </w:r>
    </w:p>
    <w:p w:rsidR="00BA601F" w:rsidRDefault="00D863C7">
      <w:pPr>
        <w:pStyle w:val="BodyText"/>
        <w:ind w:left="119" w:right="5817"/>
      </w:pPr>
      <w:r>
        <w:rPr>
          <w:color w:val="231F20"/>
        </w:rPr>
        <w:t>INTERPROFESSIONAL COMMITTEE JOINT MANAGEMENT COMMITTEE</w:t>
      </w:r>
    </w:p>
    <w:p w:rsidR="00BA601F" w:rsidRDefault="00D863C7">
      <w:pPr>
        <w:pStyle w:val="BodyText"/>
        <w:ind w:left="119" w:right="4297"/>
      </w:pPr>
      <w:r>
        <w:rPr>
          <w:color w:val="231F20"/>
        </w:rPr>
        <w:t>LAWYERS’ PROFESSIONAL LIABILITY COMMITTEE LEGAL FEE ARBITRATION COMMITTEE LEGISLATIVE POLICY COMMITTEE</w:t>
      </w:r>
    </w:p>
    <w:p w:rsidR="00BA601F" w:rsidRDefault="00D863C7">
      <w:pPr>
        <w:pStyle w:val="BodyText"/>
        <w:spacing w:line="280" w:lineRule="exact"/>
        <w:ind w:left="119"/>
      </w:pPr>
      <w:r>
        <w:rPr>
          <w:color w:val="231F20"/>
        </w:rPr>
        <w:t>MOCK TRIAL COMMITTEE</w:t>
      </w:r>
    </w:p>
    <w:p w:rsidR="00BA601F" w:rsidRDefault="00D863C7">
      <w:pPr>
        <w:pStyle w:val="BodyText"/>
        <w:spacing w:before="1"/>
        <w:ind w:left="119" w:right="5446"/>
      </w:pPr>
      <w:r>
        <w:rPr>
          <w:color w:val="231F20"/>
        </w:rPr>
        <w:t>MODERN LAW PRACTICE INITIATIVE NOMINATING COMMITTEE PLANNING AND BUDGET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COMMITTEE</w:t>
      </w:r>
    </w:p>
    <w:p w:rsidR="00BA601F" w:rsidRDefault="00D863C7">
      <w:pPr>
        <w:pStyle w:val="BodyText"/>
        <w:ind w:left="120" w:right="4542"/>
      </w:pPr>
      <w:r>
        <w:rPr>
          <w:color w:val="231F20"/>
        </w:rPr>
        <w:t>PROFESSIONALISM COORDINATING COUNCIL SPANISH LAWYERING COMMITTEE TRANSITIONS COMMITTEE</w:t>
      </w:r>
    </w:p>
    <w:p w:rsidR="00BA601F" w:rsidRDefault="00BA601F">
      <w:pPr>
        <w:sectPr w:rsidR="00BA601F">
          <w:pgSz w:w="12240" w:h="15840"/>
          <w:pgMar w:top="1360" w:right="1320" w:bottom="280" w:left="1320" w:header="720" w:footer="720" w:gutter="0"/>
          <w:cols w:space="720"/>
        </w:sectPr>
      </w:pPr>
    </w:p>
    <w:p w:rsidR="00BA601F" w:rsidRDefault="00D863C7">
      <w:pPr>
        <w:pStyle w:val="Heading1"/>
        <w:ind w:left="1641"/>
      </w:pPr>
      <w:r>
        <w:rPr>
          <w:color w:val="231F20"/>
        </w:rPr>
        <w:t>COLORADO BAR ASSOCIATION SECTIONS</w:t>
      </w:r>
    </w:p>
    <w:p w:rsidR="00BA601F" w:rsidRDefault="00BA601F">
      <w:pPr>
        <w:pStyle w:val="BodyText"/>
        <w:spacing w:before="3"/>
        <w:rPr>
          <w:b/>
          <w:sz w:val="48"/>
        </w:rPr>
      </w:pPr>
    </w:p>
    <w:p w:rsidR="00BA601F" w:rsidRDefault="00D863C7">
      <w:pPr>
        <w:pStyle w:val="BodyText"/>
        <w:spacing w:line="281" w:lineRule="exact"/>
        <w:ind w:left="120"/>
      </w:pPr>
      <w:r>
        <w:rPr>
          <w:color w:val="231F20"/>
        </w:rPr>
        <w:t>AGRICULTURE LAW SECTION</w:t>
      </w:r>
    </w:p>
    <w:p w:rsidR="00BA601F" w:rsidRDefault="00D863C7">
      <w:pPr>
        <w:pStyle w:val="BodyText"/>
        <w:ind w:left="120" w:right="4554"/>
      </w:pPr>
      <w:r>
        <w:rPr>
          <w:color w:val="231F20"/>
        </w:rPr>
        <w:t>ALTERNATIVE DISPUTE RESOLUTION SECTION BUSINESS LAW SECTION</w:t>
      </w:r>
    </w:p>
    <w:p w:rsidR="00BA601F" w:rsidRDefault="00D863C7">
      <w:pPr>
        <w:pStyle w:val="Heading2"/>
        <w:spacing w:line="230" w:lineRule="auto"/>
        <w:ind w:left="840" w:right="5824"/>
      </w:pPr>
      <w:r>
        <w:rPr>
          <w:color w:val="231F20"/>
        </w:rPr>
        <w:t xml:space="preserve">Antitrust Subsection </w:t>
      </w:r>
      <w:r>
        <w:rPr>
          <w:color w:val="231F20"/>
          <w:w w:val="95"/>
        </w:rPr>
        <w:t>Bankruptcy Subsection</w:t>
      </w:r>
    </w:p>
    <w:p w:rsidR="00BA601F" w:rsidRDefault="00D863C7">
      <w:pPr>
        <w:spacing w:before="1" w:line="230" w:lineRule="auto"/>
        <w:ind w:left="839" w:right="4638"/>
        <w:rPr>
          <w:i/>
          <w:sz w:val="25"/>
        </w:rPr>
      </w:pPr>
      <w:r>
        <w:rPr>
          <w:i/>
          <w:color w:val="231F20"/>
          <w:sz w:val="25"/>
        </w:rPr>
        <w:t xml:space="preserve">E-Commerce Law Subsection Financial Institutions Subsection Franchise Law Subsection </w:t>
      </w:r>
      <w:r>
        <w:rPr>
          <w:i/>
          <w:color w:val="231F20"/>
          <w:w w:val="95"/>
          <w:sz w:val="25"/>
        </w:rPr>
        <w:t xml:space="preserve">International Transactions Subsection </w:t>
      </w:r>
      <w:r>
        <w:rPr>
          <w:i/>
          <w:color w:val="231F20"/>
          <w:sz w:val="25"/>
        </w:rPr>
        <w:t>Law School Liaisons</w:t>
      </w:r>
    </w:p>
    <w:p w:rsidR="00BA601F" w:rsidRDefault="00D863C7">
      <w:pPr>
        <w:spacing w:line="230" w:lineRule="auto"/>
        <w:ind w:left="839" w:right="4984"/>
        <w:rPr>
          <w:i/>
          <w:sz w:val="25"/>
        </w:rPr>
      </w:pPr>
      <w:r>
        <w:rPr>
          <w:i/>
          <w:color w:val="231F20"/>
          <w:w w:val="95"/>
          <w:sz w:val="25"/>
        </w:rPr>
        <w:t xml:space="preserve">Mergers &amp; Acquisitions Subsection </w:t>
      </w:r>
      <w:r>
        <w:rPr>
          <w:i/>
          <w:color w:val="231F20"/>
          <w:sz w:val="25"/>
        </w:rPr>
        <w:t>New Lawyers Subsection Nonprofit Entities Subsection</w:t>
      </w:r>
    </w:p>
    <w:p w:rsidR="00BA601F" w:rsidRDefault="00D863C7">
      <w:pPr>
        <w:spacing w:line="230" w:lineRule="auto"/>
        <w:ind w:left="839" w:right="4050"/>
        <w:rPr>
          <w:i/>
          <w:sz w:val="25"/>
        </w:rPr>
      </w:pPr>
      <w:r>
        <w:rPr>
          <w:i/>
          <w:color w:val="231F20"/>
          <w:w w:val="95"/>
          <w:sz w:val="25"/>
        </w:rPr>
        <w:t xml:space="preserve">Privately Held Businesses Subsection </w:t>
      </w:r>
      <w:r>
        <w:rPr>
          <w:i/>
          <w:color w:val="231F20"/>
          <w:sz w:val="25"/>
        </w:rPr>
        <w:t>Securities Subsection</w:t>
      </w:r>
    </w:p>
    <w:p w:rsidR="00BA601F" w:rsidRDefault="00D863C7">
      <w:pPr>
        <w:pStyle w:val="BodyText"/>
        <w:spacing w:line="280" w:lineRule="exact"/>
        <w:ind w:left="120"/>
      </w:pPr>
      <w:r>
        <w:rPr>
          <w:color w:val="231F20"/>
        </w:rPr>
        <w:t>CIVIL RIGHTS SECTION</w:t>
      </w:r>
    </w:p>
    <w:p w:rsidR="00BA601F" w:rsidRDefault="00D863C7">
      <w:pPr>
        <w:pStyle w:val="BodyText"/>
        <w:ind w:left="120" w:right="4493"/>
      </w:pPr>
      <w:r>
        <w:rPr>
          <w:color w:val="231F20"/>
        </w:rPr>
        <w:t>COMMUNICATIONS &amp; TECHNOLOGY SECTION CONSTRUCTION LAW SECTION</w:t>
      </w:r>
    </w:p>
    <w:p w:rsidR="00BA601F" w:rsidRDefault="00D863C7">
      <w:pPr>
        <w:pStyle w:val="BodyText"/>
        <w:ind w:left="120" w:right="6737"/>
      </w:pPr>
      <w:r>
        <w:rPr>
          <w:color w:val="231F20"/>
        </w:rPr>
        <w:t>CRIMINAL LAW SECTION DISABILITY LAW SECTION ELDER LAW SECTION</w:t>
      </w:r>
    </w:p>
    <w:p w:rsidR="00BA601F" w:rsidRDefault="00D863C7">
      <w:pPr>
        <w:pStyle w:val="BodyText"/>
        <w:spacing w:before="1"/>
        <w:ind w:left="120" w:right="5588"/>
      </w:pPr>
      <w:r>
        <w:rPr>
          <w:color w:val="231F20"/>
        </w:rPr>
        <w:t>ENVIRONMENTAL LAW SECTION FAMILY LAW SECTION GOVERNMENT COUNSEL SECTION HEALTH LAW SECTION IMMIGRATION SECTION INTELLECTUAL PROPERTY SECTION INTERNATIONAL LAW SECTION JUDICIAL LIAISON SECTION JUVENILE LAW SECTION</w:t>
      </w:r>
    </w:p>
    <w:p w:rsidR="00BA601F" w:rsidRDefault="00D863C7">
      <w:pPr>
        <w:pStyle w:val="BodyText"/>
        <w:ind w:left="120" w:right="5333"/>
      </w:pPr>
      <w:r>
        <w:rPr>
          <w:color w:val="231F20"/>
        </w:rPr>
        <w:t>LABOR &amp; EMPLOYMENT LAW SECTION LITIGATION SECTION</w:t>
      </w:r>
    </w:p>
    <w:p w:rsidR="00BA601F" w:rsidRDefault="00D863C7">
      <w:pPr>
        <w:pStyle w:val="BodyText"/>
        <w:ind w:left="120" w:right="4010"/>
      </w:pPr>
      <w:r>
        <w:rPr>
          <w:color w:val="231F20"/>
        </w:rPr>
        <w:t>MILITARY AND VETERANS’ AFFAIRS SECTION NATURAL RESOURCES AND ENERGY LAW SECTION REAL ESTATE SECTION</w:t>
      </w:r>
    </w:p>
    <w:p w:rsidR="00BA601F" w:rsidRDefault="00D863C7">
      <w:pPr>
        <w:pStyle w:val="BodyText"/>
        <w:spacing w:line="280" w:lineRule="exact"/>
        <w:ind w:left="120"/>
      </w:pPr>
      <w:r>
        <w:rPr>
          <w:color w:val="231F20"/>
        </w:rPr>
        <w:t>SOLO SMALL FIRM SECTION</w:t>
      </w:r>
    </w:p>
    <w:p w:rsidR="00BA601F" w:rsidRDefault="00D863C7">
      <w:pPr>
        <w:pStyle w:val="BodyText"/>
        <w:ind w:left="120" w:right="4050"/>
      </w:pPr>
      <w:r>
        <w:rPr>
          <w:color w:val="231F20"/>
        </w:rPr>
        <w:t>SPORTS &amp; ENTERTAINMENT LAW SECTION TAXATION LAW SECTION</w:t>
      </w:r>
    </w:p>
    <w:p w:rsidR="00BA601F" w:rsidRDefault="00D863C7">
      <w:pPr>
        <w:pStyle w:val="BodyText"/>
        <w:spacing w:before="1"/>
        <w:ind w:left="120" w:right="6659"/>
      </w:pPr>
      <w:r>
        <w:rPr>
          <w:color w:val="231F20"/>
        </w:rPr>
        <w:t>TRUST &amp; ESTATE SECTION WATER LAW SECTION</w:t>
      </w:r>
    </w:p>
    <w:p w:rsidR="00BA601F" w:rsidRDefault="00D863C7">
      <w:pPr>
        <w:pStyle w:val="BodyText"/>
        <w:ind w:left="120" w:right="5451"/>
      </w:pPr>
      <w:r>
        <w:rPr>
          <w:color w:val="231F20"/>
        </w:rPr>
        <w:t>WORKERS’ COMPENSATION SECTION YOUNG LAWYERS DIVISION</w:t>
      </w:r>
    </w:p>
    <w:sectPr w:rsidR="00BA601F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776"/>
    <w:multiLevelType w:val="hybridMultilevel"/>
    <w:tmpl w:val="EF2CE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BA156CB"/>
    <w:multiLevelType w:val="hybridMultilevel"/>
    <w:tmpl w:val="D1B83D2E"/>
    <w:lvl w:ilvl="0" w:tplc="8B4C842C">
      <w:start w:val="1"/>
      <w:numFmt w:val="upperLetter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02664A74">
      <w:start w:val="1"/>
      <w:numFmt w:val="decimal"/>
      <w:lvlText w:val="%2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2" w:tplc="CD1C42B4"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en-US"/>
      </w:rPr>
    </w:lvl>
    <w:lvl w:ilvl="3" w:tplc="6972CE68">
      <w:numFmt w:val="bullet"/>
      <w:lvlText w:val="•"/>
      <w:lvlJc w:val="left"/>
      <w:pPr>
        <w:ind w:left="3346" w:hanging="720"/>
      </w:pPr>
      <w:rPr>
        <w:rFonts w:hint="default"/>
        <w:lang w:val="en-US" w:eastAsia="en-US" w:bidi="en-US"/>
      </w:rPr>
    </w:lvl>
    <w:lvl w:ilvl="4" w:tplc="E53CDE90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en-US"/>
      </w:rPr>
    </w:lvl>
    <w:lvl w:ilvl="5" w:tplc="CC1CC76C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en-US"/>
      </w:rPr>
    </w:lvl>
    <w:lvl w:ilvl="6" w:tplc="F132B258">
      <w:numFmt w:val="bullet"/>
      <w:lvlText w:val="•"/>
      <w:lvlJc w:val="left"/>
      <w:pPr>
        <w:ind w:left="6026" w:hanging="720"/>
      </w:pPr>
      <w:rPr>
        <w:rFonts w:hint="default"/>
        <w:lang w:val="en-US" w:eastAsia="en-US" w:bidi="en-US"/>
      </w:rPr>
    </w:lvl>
    <w:lvl w:ilvl="7" w:tplc="48262692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en-US"/>
      </w:rPr>
    </w:lvl>
    <w:lvl w:ilvl="8" w:tplc="047C85C0">
      <w:numFmt w:val="bullet"/>
      <w:lvlText w:val="•"/>
      <w:lvlJc w:val="left"/>
      <w:pPr>
        <w:ind w:left="7813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1F"/>
    <w:rsid w:val="003E4992"/>
    <w:rsid w:val="004868AB"/>
    <w:rsid w:val="009261B1"/>
    <w:rsid w:val="00BA601F"/>
    <w:rsid w:val="00D35C6F"/>
    <w:rsid w:val="00D863C7"/>
    <w:rsid w:val="00F1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66F06-B6E6-4735-9A07-226F48C9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sha" w:eastAsia="Gisha" w:hAnsi="Gisha" w:cs="Gisha"/>
      <w:lang w:bidi="en-US"/>
    </w:rPr>
  </w:style>
  <w:style w:type="paragraph" w:styleId="Heading1">
    <w:name w:val="heading 1"/>
    <w:basedOn w:val="Normal"/>
    <w:uiPriority w:val="1"/>
    <w:qFormat/>
    <w:pPr>
      <w:spacing w:before="78"/>
      <w:ind w:left="139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39" w:right="4050"/>
      <w:outlineLvl w:val="1"/>
    </w:pPr>
    <w:rPr>
      <w:i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76"/>
      <w:ind w:left="2496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11"/>
      <w:ind w:left="1560" w:hanging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600</Words>
  <Characters>3672</Characters>
  <Application>Microsoft Office Word</Application>
  <DocSecurity>0</DocSecurity>
  <Lines>148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WS_TRACKING_ID">
    <vt:lpwstr>4964e690-3b86-4175-b7d2-22691e57bdaf</vt:lpwstr>
  </property>
</Properties>
</file>